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"/>
        <w:tblW w:w="144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80"/>
        <w:gridCol w:w="480"/>
        <w:gridCol w:w="420"/>
        <w:gridCol w:w="4140"/>
        <w:gridCol w:w="720"/>
        <w:gridCol w:w="450"/>
        <w:gridCol w:w="4125"/>
      </w:tblGrid>
      <w:tr w:rsidR="00A32EB9">
        <w:trPr>
          <w:trHeight w:val="28650"/>
          <w:jc w:val="center"/>
        </w:trPr>
        <w:tc>
          <w:tcPr>
            <w:tcW w:w="4080" w:type="dxa"/>
            <w:tcBorders>
              <w:top w:val="nil"/>
              <w:left w:val="nil"/>
              <w:right w:val="nil"/>
            </w:tcBorders>
          </w:tcPr>
          <w:p w:rsidR="00A32EB9" w:rsidRDefault="00BD0ED4">
            <w:bookmarkStart w:id="0" w:name="_GoBack"/>
            <w:bookmarkEnd w:id="0"/>
            <w:r>
              <w:rPr>
                <w:noProof/>
              </w:rPr>
              <w:drawing>
                <wp:anchor distT="0" distB="0" distL="0" distR="0" simplePos="0" relativeHeight="251658240" behindDoc="0" locked="0" layoutInCell="1" hidden="0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57150</wp:posOffset>
                  </wp:positionV>
                  <wp:extent cx="2233613" cy="2233613"/>
                  <wp:effectExtent l="0" t="0" r="0" b="0"/>
                  <wp:wrapTopAndBottom distT="0" distB="0"/>
                  <wp:docPr id="3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4"/>
                          <a:srcRect t="12500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613" cy="2233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A32EB9" w:rsidRDefault="00BD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40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[Students develop their communication and collaboration skills in doing an engineering challenge]</w:t>
            </w:r>
          </w:p>
          <w:p w:rsidR="00A32EB9" w:rsidRDefault="00BD0ED4">
            <w:pPr>
              <w:pStyle w:val="Heading2"/>
              <w:outlineLvl w:val="1"/>
            </w:pPr>
            <w:r>
              <w:rPr>
                <w:b w:val="0"/>
                <w:color w:val="C45238"/>
                <w:sz w:val="32"/>
                <w:szCs w:val="32"/>
              </w:rPr>
              <w:t>Attendance</w:t>
            </w:r>
          </w:p>
          <w:p w:rsidR="00A32EB9" w:rsidRDefault="00BD0ED4">
            <w:pPr>
              <w:spacing w:before="200"/>
              <w:rPr>
                <w:rFonts w:ascii="Proxima Nova" w:eastAsia="Proxima Nova" w:hAnsi="Proxima Nova" w:cs="Proxima Nova"/>
                <w:color w:val="353744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353744"/>
                <w:sz w:val="22"/>
                <w:szCs w:val="22"/>
              </w:rPr>
              <w:t>It is very important for your child to attend school on a regular basis.  The children are responsible to complete all assignments that they have missed. Safe arrival will call you if your child is not in school at 9:00 and 1:00.  This plan is in place for safety reasons.  Please send a note if your child has a medical appointment and needs to leave school early.</w:t>
            </w:r>
          </w:p>
          <w:p w:rsidR="00A32EB9" w:rsidRDefault="00BD0ED4">
            <w:pPr>
              <w:spacing w:before="200"/>
              <w:rPr>
                <w:rFonts w:ascii="Proxima Nova" w:eastAsia="Proxima Nova" w:hAnsi="Proxima Nova" w:cs="Proxima Nova"/>
                <w:color w:val="353744"/>
              </w:rPr>
            </w:pPr>
            <w:proofErr w:type="spellStart"/>
            <w:r>
              <w:rPr>
                <w:color w:val="C45238"/>
                <w:sz w:val="32"/>
                <w:szCs w:val="32"/>
              </w:rPr>
              <w:t>Behavioural</w:t>
            </w:r>
            <w:proofErr w:type="spellEnd"/>
            <w:r>
              <w:rPr>
                <w:color w:val="C45238"/>
                <w:sz w:val="32"/>
                <w:szCs w:val="32"/>
              </w:rPr>
              <w:t xml:space="preserve"> Expectations</w:t>
            </w:r>
          </w:p>
          <w:p w:rsidR="00A32EB9" w:rsidRDefault="00BD0ED4">
            <w:pPr>
              <w:spacing w:before="200"/>
              <w:rPr>
                <w:rFonts w:ascii="Proxima Nova" w:eastAsia="Proxima Nova" w:hAnsi="Proxima Nova" w:cs="Proxima Nova"/>
                <w:color w:val="353744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353744"/>
                <w:sz w:val="22"/>
                <w:szCs w:val="22"/>
              </w:rPr>
              <w:t>Our expectations are: to try our best. respect ourselves and others, treat our property and school property with respect, follow class and school rules, and continue to be a role model. Students must complete class assignments and homework, listen when others are speaking, clean up after themselves, and have fun!!</w:t>
            </w:r>
          </w:p>
        </w:tc>
        <w:tc>
          <w:tcPr>
            <w:tcW w:w="480" w:type="dxa"/>
            <w:tcBorders>
              <w:top w:val="nil"/>
              <w:left w:val="nil"/>
              <w:right w:val="nil"/>
            </w:tcBorders>
          </w:tcPr>
          <w:p w:rsidR="00A32EB9" w:rsidRDefault="00A32EB9"/>
        </w:tc>
        <w:tc>
          <w:tcPr>
            <w:tcW w:w="420" w:type="dxa"/>
            <w:tcBorders>
              <w:top w:val="nil"/>
              <w:left w:val="nil"/>
              <w:right w:val="single" w:sz="4" w:space="0" w:color="FFFFFF"/>
            </w:tcBorders>
          </w:tcPr>
          <w:p w:rsidR="00A32EB9" w:rsidRDefault="00A32EB9"/>
        </w:tc>
        <w:tc>
          <w:tcPr>
            <w:tcW w:w="4140" w:type="dxa"/>
            <w:tcBorders>
              <w:top w:val="nil"/>
              <w:left w:val="single" w:sz="4" w:space="0" w:color="FFFFFF"/>
              <w:right w:val="nil"/>
            </w:tcBorders>
          </w:tcPr>
          <w:p w:rsidR="00A32EB9" w:rsidRDefault="00A32E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0"/>
              <w:tblW w:w="384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843"/>
            </w:tblGrid>
            <w:tr w:rsidR="00A32EB9">
              <w:trPr>
                <w:trHeight w:val="7920"/>
              </w:trPr>
              <w:tc>
                <w:tcPr>
                  <w:tcW w:w="38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32EB9" w:rsidRDefault="00BD0ED4">
                  <w:pPr>
                    <w:spacing w:before="200"/>
                    <w:rPr>
                      <w:rFonts w:ascii="Proxima Nova" w:eastAsia="Proxima Nova" w:hAnsi="Proxima Nova" w:cs="Proxima Nova"/>
                      <w:color w:val="353744"/>
                      <w:sz w:val="22"/>
                      <w:szCs w:val="22"/>
                    </w:rPr>
                  </w:pPr>
                  <w:r>
                    <w:rPr>
                      <w:color w:val="C45238"/>
                      <w:sz w:val="32"/>
                      <w:szCs w:val="32"/>
                    </w:rPr>
                    <w:t>Assessment Tools &amp; Strategies</w:t>
                  </w:r>
                </w:p>
                <w:p w:rsidR="00A32EB9" w:rsidRDefault="00BD0ED4">
                  <w:pPr>
                    <w:spacing w:before="200"/>
                  </w:pPr>
                  <w:r>
                    <w:rPr>
                      <w:rFonts w:ascii="Proxima Nova" w:eastAsia="Proxima Nova" w:hAnsi="Proxima Nova" w:cs="Proxima Nova"/>
                      <w:color w:val="353744"/>
                      <w:sz w:val="22"/>
                      <w:szCs w:val="22"/>
                    </w:rPr>
                    <w:t>Students are assessed through: observations of daily performance. checklists and anecdotal notes, written assignments, tests and quizzes. Assessment is also completed through conferences, group work, student self-assessment, student self-reflection, and focusing on learning goals. Additional forms of assessment are through work samples, learning logs, portfolios, and demonstrations.</w:t>
                  </w:r>
                </w:p>
                <w:p w:rsidR="00A32EB9" w:rsidRDefault="00BD0ED4">
                  <w:pPr>
                    <w:pStyle w:val="Heading1"/>
                    <w:outlineLvl w:val="0"/>
                  </w:pPr>
                  <w:r>
                    <w:t>Who We Are</w:t>
                  </w:r>
                </w:p>
                <w:p w:rsidR="00A32EB9" w:rsidRDefault="00BD0ED4">
                  <w:pPr>
                    <w:rPr>
                      <w:rFonts w:ascii="Proxima Nova" w:eastAsia="Proxima Nova" w:hAnsi="Proxima Nova" w:cs="Proxima Nova"/>
                      <w:sz w:val="22"/>
                      <w:szCs w:val="22"/>
                    </w:rPr>
                  </w:pPr>
                  <w:r>
                    <w:rPr>
                      <w:rFonts w:ascii="Proxima Nova" w:eastAsia="Proxima Nova" w:hAnsi="Proxima Nova" w:cs="Proxima Nova"/>
                      <w:sz w:val="22"/>
                      <w:szCs w:val="22"/>
                    </w:rPr>
                    <w:t xml:space="preserve">Wellington is a Nursery to Grade 6, community school based within the West Central </w:t>
                  </w:r>
                  <w:proofErr w:type="spellStart"/>
                  <w:r>
                    <w:rPr>
                      <w:rFonts w:ascii="Proxima Nova" w:eastAsia="Proxima Nova" w:hAnsi="Proxima Nova" w:cs="Proxima Nova"/>
                      <w:sz w:val="22"/>
                      <w:szCs w:val="22"/>
                    </w:rPr>
                    <w:t>neighbourhood</w:t>
                  </w:r>
                  <w:proofErr w:type="spellEnd"/>
                  <w:r>
                    <w:rPr>
                      <w:rFonts w:ascii="Proxima Nova" w:eastAsia="Proxima Nova" w:hAnsi="Proxima Nova" w:cs="Proxima Nova"/>
                      <w:sz w:val="22"/>
                      <w:szCs w:val="22"/>
                    </w:rPr>
                    <w:t>.</w:t>
                  </w:r>
                </w:p>
                <w:p w:rsidR="00A32EB9" w:rsidRDefault="00A32EB9"/>
                <w:p w:rsidR="00A32EB9" w:rsidRDefault="00BD0ED4">
                  <w:r>
                    <w:rPr>
                      <w:rFonts w:ascii="Proxima Nova" w:eastAsia="Proxima Nova" w:hAnsi="Proxima Nova" w:cs="Proxima Nova"/>
                      <w:sz w:val="22"/>
                      <w:szCs w:val="22"/>
                    </w:rPr>
                    <w:t>There is mutual respect, honesty, responsibility and cooperation among all members of the school community.</w:t>
                  </w:r>
                </w:p>
                <w:p w:rsidR="00A32EB9" w:rsidRDefault="00A32EB9">
                  <w:pPr>
                    <w:rPr>
                      <w:sz w:val="22"/>
                      <w:szCs w:val="22"/>
                    </w:rPr>
                  </w:pPr>
                </w:p>
                <w:p w:rsidR="00A32EB9" w:rsidRDefault="00BD0ED4">
                  <w:pPr>
                    <w:rPr>
                      <w:rFonts w:ascii="Proxima Nova" w:eastAsia="Proxima Nova" w:hAnsi="Proxima Nova" w:cs="Proxima Nova"/>
                      <w:sz w:val="22"/>
                      <w:szCs w:val="22"/>
                    </w:rPr>
                  </w:pPr>
                  <w:r>
                    <w:rPr>
                      <w:rFonts w:ascii="Proxima Nova" w:eastAsia="Proxima Nova" w:hAnsi="Proxima Nova" w:cs="Proxima Nova"/>
                      <w:sz w:val="22"/>
                      <w:szCs w:val="22"/>
                    </w:rPr>
                    <w:t>Wellington School strives for all students to be fully equipped to meet the challenges of the 21st century - socially, emotionally, physically and academically to be active responsible citizens of the world.</w:t>
                  </w:r>
                </w:p>
                <w:p w:rsidR="00A32EB9" w:rsidRDefault="00A32EB9">
                  <w:pPr>
                    <w:rPr>
                      <w:rFonts w:ascii="Proxima Nova" w:eastAsia="Proxima Nova" w:hAnsi="Proxima Nova" w:cs="Proxima Nova"/>
                    </w:rPr>
                  </w:pPr>
                </w:p>
                <w:p w:rsidR="00A32EB9" w:rsidRDefault="00BD0ED4">
                  <w:pPr>
                    <w:jc w:val="center"/>
                    <w:rPr>
                      <w:rFonts w:ascii="Proxima Nova" w:eastAsia="Proxima Nova" w:hAnsi="Proxima Nova" w:cs="Proxima Nova"/>
                      <w:b/>
                      <w:sz w:val="30"/>
                      <w:szCs w:val="3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sz w:val="30"/>
                      <w:szCs w:val="30"/>
                    </w:rPr>
                    <w:t>Watch for updates at:</w:t>
                  </w:r>
                </w:p>
                <w:p w:rsidR="00A32EB9" w:rsidRDefault="00234B36">
                  <w:pPr>
                    <w:jc w:val="center"/>
                    <w:rPr>
                      <w:rFonts w:ascii="Proxima Nova" w:eastAsia="Proxima Nova" w:hAnsi="Proxima Nova" w:cs="Proxima Nova"/>
                      <w:sz w:val="28"/>
                      <w:szCs w:val="28"/>
                    </w:rPr>
                  </w:pPr>
                  <w:hyperlink r:id="rId5">
                    <w:r w:rsidR="00BD0ED4">
                      <w:rPr>
                        <w:rFonts w:ascii="Proxima Nova" w:eastAsia="Proxima Nova" w:hAnsi="Proxima Nova" w:cs="Proxima Nova"/>
                        <w:color w:val="1155CC"/>
                        <w:sz w:val="28"/>
                        <w:szCs w:val="28"/>
                        <w:u w:val="single"/>
                      </w:rPr>
                      <w:t>www.winnipegsd.ca</w:t>
                    </w:r>
                  </w:hyperlink>
                </w:p>
                <w:p w:rsidR="00A32EB9" w:rsidRDefault="00BD0ED4">
                  <w:pPr>
                    <w:jc w:val="center"/>
                    <w:rPr>
                      <w:rFonts w:ascii="Proxima Nova" w:eastAsia="Proxima Nova" w:hAnsi="Proxima Nova" w:cs="Proxima Nova"/>
                      <w:b/>
                      <w:sz w:val="30"/>
                      <w:szCs w:val="3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sz w:val="30"/>
                      <w:szCs w:val="30"/>
                    </w:rPr>
                    <w:t>Contact Us:</w:t>
                  </w:r>
                </w:p>
                <w:p w:rsidR="00A32EB9" w:rsidRDefault="00BD0ED4">
                  <w:pPr>
                    <w:jc w:val="center"/>
                    <w:rPr>
                      <w:rFonts w:ascii="Proxima Nova" w:eastAsia="Proxima Nova" w:hAnsi="Proxima Nova" w:cs="Proxima Nova"/>
                      <w:sz w:val="30"/>
                      <w:szCs w:val="30"/>
                    </w:rPr>
                  </w:pPr>
                  <w:r>
                    <w:rPr>
                      <w:rFonts w:ascii="Proxima Nova" w:eastAsia="Proxima Nova" w:hAnsi="Proxima Nova" w:cs="Proxima Nova"/>
                      <w:sz w:val="30"/>
                      <w:szCs w:val="30"/>
                    </w:rPr>
                    <w:t>204-774-8085</w:t>
                  </w:r>
                </w:p>
                <w:p w:rsidR="00A32EB9" w:rsidRDefault="00A32EB9">
                  <w:pPr>
                    <w:jc w:val="center"/>
                    <w:rPr>
                      <w:rFonts w:ascii="Proxima Nova" w:eastAsia="Proxima Nova" w:hAnsi="Proxima Nova" w:cs="Proxima Nova"/>
                      <w:sz w:val="16"/>
                      <w:szCs w:val="16"/>
                    </w:rPr>
                  </w:pPr>
                </w:p>
                <w:p w:rsidR="00A32EB9" w:rsidRDefault="00A32EB9">
                  <w:pPr>
                    <w:jc w:val="center"/>
                    <w:rPr>
                      <w:rFonts w:ascii="Proxima Nova" w:eastAsia="Proxima Nova" w:hAnsi="Proxima Nova" w:cs="Proxima Nova"/>
                      <w:sz w:val="16"/>
                      <w:szCs w:val="16"/>
                    </w:rPr>
                  </w:pPr>
                </w:p>
              </w:tc>
            </w:tr>
          </w:tbl>
          <w:p w:rsidR="00A32EB9" w:rsidRDefault="00A32EB9"/>
        </w:tc>
        <w:tc>
          <w:tcPr>
            <w:tcW w:w="720" w:type="dxa"/>
            <w:tcBorders>
              <w:top w:val="nil"/>
              <w:left w:val="nil"/>
              <w:right w:val="nil"/>
            </w:tcBorders>
          </w:tcPr>
          <w:p w:rsidR="00A32EB9" w:rsidRDefault="00A32EB9"/>
        </w:tc>
        <w:tc>
          <w:tcPr>
            <w:tcW w:w="450" w:type="dxa"/>
            <w:tcBorders>
              <w:top w:val="nil"/>
              <w:left w:val="nil"/>
              <w:right w:val="single" w:sz="4" w:space="0" w:color="FFFFFF"/>
            </w:tcBorders>
          </w:tcPr>
          <w:p w:rsidR="00A32EB9" w:rsidRDefault="00A32EB9"/>
        </w:tc>
        <w:tc>
          <w:tcPr>
            <w:tcW w:w="4125" w:type="dxa"/>
            <w:tcBorders>
              <w:top w:val="nil"/>
              <w:left w:val="single" w:sz="4" w:space="0" w:color="FFFFFF"/>
            </w:tcBorders>
          </w:tcPr>
          <w:p w:rsidR="00A32EB9" w:rsidRDefault="00A32E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1"/>
              <w:tblW w:w="391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910"/>
            </w:tblGrid>
            <w:tr w:rsidR="00A32EB9" w:rsidTr="00BD0ED4">
              <w:trPr>
                <w:trHeight w:val="5751"/>
              </w:trPr>
              <w:tc>
                <w:tcPr>
                  <w:tcW w:w="391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32EB9" w:rsidRDefault="00BD0ED4">
                  <w:r>
                    <w:rPr>
                      <w:noProof/>
                    </w:rPr>
                    <w:drawing>
                      <wp:inline distT="114300" distB="114300" distL="114300" distR="114300">
                        <wp:extent cx="2438400" cy="3251200"/>
                        <wp:effectExtent l="0" t="0" r="0" b="0"/>
                        <wp:docPr id="2" name="image5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5.jpg"/>
                                <pic:cNvPicPr preferRelativeResize="0"/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8400" cy="32512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32EB9" w:rsidRDefault="00A32EB9"/>
              </w:tc>
            </w:tr>
            <w:tr w:rsidR="00A32EB9" w:rsidTr="00BD0ED4">
              <w:trPr>
                <w:trHeight w:val="359"/>
              </w:trPr>
              <w:tc>
                <w:tcPr>
                  <w:tcW w:w="3910" w:type="dxa"/>
                  <w:tcBorders>
                    <w:top w:val="nil"/>
                    <w:left w:val="nil"/>
                    <w:right w:val="nil"/>
                  </w:tcBorders>
                </w:tcPr>
                <w:p w:rsidR="00A32EB9" w:rsidRDefault="00A32EB9"/>
              </w:tc>
            </w:tr>
            <w:tr w:rsidR="00A32EB9" w:rsidTr="00BD0ED4">
              <w:trPr>
                <w:trHeight w:val="3235"/>
              </w:trPr>
              <w:tc>
                <w:tcPr>
                  <w:tcW w:w="3910" w:type="dxa"/>
                  <w:shd w:val="clear" w:color="auto" w:fill="C45238"/>
                </w:tcPr>
                <w:p w:rsidR="00A32EB9" w:rsidRPr="00F70F80" w:rsidRDefault="00BD0ED4">
                  <w:pPr>
                    <w:pStyle w:val="Title"/>
                    <w:jc w:val="center"/>
                    <w:rPr>
                      <w:rFonts w:ascii="Amatic SC" w:eastAsia="Amatic SC" w:hAnsi="Amatic SC" w:cs="Amatic SC"/>
                      <w:sz w:val="36"/>
                      <w:szCs w:val="36"/>
                    </w:rPr>
                  </w:pPr>
                  <w:r w:rsidRPr="00F70F80">
                    <w:rPr>
                      <w:rFonts w:ascii="Amatic SC" w:eastAsia="Amatic SC" w:hAnsi="Amatic SC" w:cs="Amatic SC"/>
                      <w:sz w:val="36"/>
                      <w:szCs w:val="36"/>
                    </w:rPr>
                    <w:t>Wellington’s Grade 5/6</w:t>
                  </w:r>
                </w:p>
                <w:p w:rsidR="00A32EB9" w:rsidRDefault="00F70F80">
                  <w:pPr>
                    <w:pStyle w:val="Title"/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0" distR="0" simplePos="0" relativeHeight="251659264" behindDoc="0" locked="0" layoutInCell="1" hidden="0" allowOverlap="1">
                        <wp:simplePos x="0" y="0"/>
                        <wp:positionH relativeFrom="column">
                          <wp:posOffset>476250</wp:posOffset>
                        </wp:positionH>
                        <wp:positionV relativeFrom="paragraph">
                          <wp:posOffset>742315</wp:posOffset>
                        </wp:positionV>
                        <wp:extent cx="1552575" cy="1447800"/>
                        <wp:effectExtent l="0" t="0" r="9525" b="0"/>
                        <wp:wrapTopAndBottom distT="0" distB="0"/>
                        <wp:docPr id="1" name="image2.png" descr="cid:9CCBF568-28BA-4AB7-82BC-C794840BB19F@adi.wsd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.png" descr="cid:9CCBF568-28BA-4AB7-82BC-C794840BB19F@adi.wsd"/>
                                <pic:cNvPicPr preferRelativeResize="0"/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2575" cy="14478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BD0ED4" w:rsidRPr="00F70F80">
                    <w:rPr>
                      <w:rFonts w:ascii="Amatic SC" w:eastAsia="Amatic SC" w:hAnsi="Amatic SC" w:cs="Amatic SC"/>
                      <w:sz w:val="36"/>
                      <w:szCs w:val="36"/>
                    </w:rPr>
                    <w:t>PROGRAM OVERVIEW</w:t>
                  </w:r>
                </w:p>
              </w:tc>
            </w:tr>
          </w:tbl>
          <w:p w:rsidR="00A32EB9" w:rsidRDefault="00A32EB9"/>
        </w:tc>
      </w:tr>
    </w:tbl>
    <w:tbl>
      <w:tblPr>
        <w:tblStyle w:val="a2"/>
        <w:tblW w:w="14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07"/>
        <w:gridCol w:w="724"/>
        <w:gridCol w:w="724"/>
        <w:gridCol w:w="3910"/>
        <w:gridCol w:w="731"/>
        <w:gridCol w:w="731"/>
        <w:gridCol w:w="3918"/>
      </w:tblGrid>
      <w:tr w:rsidR="00A32EB9" w:rsidTr="00F70F80">
        <w:trPr>
          <w:trHeight w:val="10551"/>
          <w:jc w:val="center"/>
        </w:trPr>
        <w:tc>
          <w:tcPr>
            <w:tcW w:w="3907" w:type="dxa"/>
            <w:tcBorders>
              <w:top w:val="nil"/>
              <w:left w:val="nil"/>
              <w:bottom w:val="nil"/>
              <w:right w:val="nil"/>
            </w:tcBorders>
          </w:tcPr>
          <w:p w:rsidR="00A32EB9" w:rsidRDefault="00BD0ED4">
            <w:pPr>
              <w:spacing w:after="320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2428875" cy="1625600"/>
                  <wp:effectExtent l="0" t="0" r="0" b="0"/>
                  <wp:docPr id="4" name="image1.jpg" descr="Image result for book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Image result for books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625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32EB9" w:rsidRDefault="00BD0ED4">
            <w:pPr>
              <w:pStyle w:val="Heading1"/>
              <w:outlineLvl w:val="0"/>
              <w:rPr>
                <w:b w:val="0"/>
              </w:rPr>
            </w:pPr>
            <w:r>
              <w:rPr>
                <w:b w:val="0"/>
              </w:rPr>
              <w:t>English Language Arts</w:t>
            </w:r>
          </w:p>
          <w:p w:rsidR="00A32EB9" w:rsidRDefault="00BD0ED4">
            <w:pPr>
              <w:spacing w:before="200"/>
              <w:rPr>
                <w:rFonts w:ascii="Proxima Nova" w:eastAsia="Proxima Nova" w:hAnsi="Proxima Nova" w:cs="Proxima Nova"/>
                <w:color w:val="353744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353744"/>
                <w:sz w:val="22"/>
                <w:szCs w:val="22"/>
              </w:rPr>
              <w:t>Our program covers the general outcomes of English Language Arts through activities in listening, speaking, reading, writing, viewing and representing.</w:t>
            </w:r>
          </w:p>
          <w:p w:rsidR="00A32EB9" w:rsidRDefault="00BD0ED4">
            <w:pPr>
              <w:spacing w:before="200"/>
              <w:rPr>
                <w:rFonts w:ascii="Proxima Nova" w:eastAsia="Proxima Nova" w:hAnsi="Proxima Nova" w:cs="Proxima Nova"/>
                <w:color w:val="353744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353744"/>
                <w:sz w:val="22"/>
                <w:szCs w:val="22"/>
              </w:rPr>
              <w:t>The main goals for the students are to: explore thoughts, ideas, feelings and experiences, comprehend and respond personally, and critically to oral, literacy and media texts. Other goals are: to manage ideas and information, enhance clarity and artistry of communication, and to celebrate and build community.</w:t>
            </w:r>
          </w:p>
          <w:p w:rsidR="00A32EB9" w:rsidRDefault="00BD0ED4">
            <w:pPr>
              <w:spacing w:before="200"/>
            </w:pPr>
            <w:r>
              <w:rPr>
                <w:color w:val="C45238"/>
                <w:sz w:val="32"/>
                <w:szCs w:val="32"/>
              </w:rPr>
              <w:t>Digital Literacy</w:t>
            </w:r>
          </w:p>
          <w:p w:rsidR="00A32EB9" w:rsidRDefault="00BD0ED4" w:rsidP="00F70F80">
            <w:pPr>
              <w:spacing w:before="200"/>
              <w:rPr>
                <w:rFonts w:ascii="Proxima Nova" w:eastAsia="Proxima Nova" w:hAnsi="Proxima Nova" w:cs="Proxima Nova"/>
                <w:color w:val="353744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353744"/>
                <w:sz w:val="22"/>
                <w:szCs w:val="22"/>
              </w:rPr>
              <w:t>Building technological competence and digital literacy is a priority in our teaching.  We use technology to support all subject areas rather than teach it in isolation.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A32EB9" w:rsidRDefault="00A32EB9"/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A32EB9" w:rsidRDefault="00A32EB9"/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</w:tcPr>
          <w:p w:rsidR="00A32EB9" w:rsidRDefault="00BD0ED4">
            <w:pPr>
              <w:pStyle w:val="Heading1"/>
              <w:outlineLvl w:val="0"/>
              <w:rPr>
                <w:b w:val="0"/>
              </w:rPr>
            </w:pPr>
            <w:bookmarkStart w:id="1" w:name="_jjutfp5l5d3f" w:colFirst="0" w:colLast="0"/>
            <w:bookmarkEnd w:id="1"/>
            <w:r>
              <w:rPr>
                <w:b w:val="0"/>
              </w:rPr>
              <w:t>Mathematics</w:t>
            </w:r>
          </w:p>
          <w:p w:rsidR="00A32EB9" w:rsidRDefault="00BD0ED4">
            <w:r>
              <w:rPr>
                <w:rFonts w:ascii="Proxima Nova" w:eastAsia="Proxima Nova" w:hAnsi="Proxima Nova" w:cs="Proxima Nova"/>
                <w:color w:val="353744"/>
                <w:sz w:val="22"/>
                <w:szCs w:val="22"/>
              </w:rPr>
              <w:t>The major goals in mathematics are that the student should: use mathematics to solve problems, exhibit a positive attitude towards mathematics, and communicate mathematically. Other goals are to appreciate mathematics and its contributions to civilization, reason mathematically, commit oneself to lifelong learning, and become mathematically literate.</w:t>
            </w:r>
          </w:p>
          <w:p w:rsidR="00A32EB9" w:rsidRDefault="00BD0ED4">
            <w:pPr>
              <w:pBdr>
                <w:top w:val="single" w:sz="4" w:space="14" w:color="C45238"/>
                <w:left w:val="nil"/>
                <w:bottom w:val="single" w:sz="4" w:space="14" w:color="C45238"/>
                <w:right w:val="nil"/>
                <w:between w:val="nil"/>
              </w:pBdr>
              <w:spacing w:before="480" w:after="480" w:line="312" w:lineRule="auto"/>
              <w:jc w:val="center"/>
              <w:rPr>
                <w:i/>
                <w:color w:val="C45238"/>
                <w:sz w:val="34"/>
                <w:szCs w:val="34"/>
              </w:rPr>
            </w:pPr>
            <w:r>
              <w:rPr>
                <w:i/>
                <w:color w:val="C45238"/>
                <w:sz w:val="48"/>
                <w:szCs w:val="48"/>
              </w:rPr>
              <w:t>Make every second count!</w:t>
            </w:r>
            <w:r>
              <w:rPr>
                <w:i/>
                <w:color w:val="C45238"/>
                <w:sz w:val="34"/>
                <w:szCs w:val="34"/>
              </w:rPr>
              <w:t xml:space="preserve"> </w:t>
            </w:r>
          </w:p>
          <w:p w:rsidR="00A32EB9" w:rsidRDefault="00BD0ED4">
            <w:pPr>
              <w:pStyle w:val="Heading2"/>
              <w:outlineLvl w:val="1"/>
            </w:pPr>
            <w:r>
              <w:rPr>
                <w:b w:val="0"/>
                <w:color w:val="C45238"/>
                <w:sz w:val="32"/>
                <w:szCs w:val="32"/>
              </w:rPr>
              <w:t>Social Studies</w:t>
            </w:r>
          </w:p>
          <w:p w:rsidR="00A32EB9" w:rsidRDefault="00BD0ED4">
            <w:pPr>
              <w:spacing w:before="200"/>
              <w:rPr>
                <w:rFonts w:ascii="Proxima Nova" w:eastAsia="Proxima Nova" w:hAnsi="Proxima Nova" w:cs="Proxima Nova"/>
                <w:i/>
                <w:color w:val="353744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353744"/>
                <w:sz w:val="22"/>
                <w:szCs w:val="22"/>
              </w:rPr>
              <w:t xml:space="preserve">This year, the Social Studies program consists of the study of: </w:t>
            </w:r>
            <w: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Building a Nation (1867-1914), An Emerging Nation (1914-1945), Shaping Canada (1945-present), Canada Today: Democracy, Diversity, &amp; Influence of the Past.</w:t>
            </w:r>
          </w:p>
          <w:p w:rsidR="00A32EB9" w:rsidRDefault="00BD0ED4" w:rsidP="00F70F80">
            <w:pPr>
              <w:spacing w:before="200"/>
            </w:pPr>
            <w:r>
              <w:rPr>
                <w:rFonts w:ascii="Proxima Nova" w:eastAsia="Proxima Nova" w:hAnsi="Proxima Nova" w:cs="Proxima Nova"/>
                <w:color w:val="353744"/>
                <w:sz w:val="22"/>
                <w:szCs w:val="22"/>
              </w:rPr>
              <w:t>Additionally, we focus on the rights and responsibilities of citizenship in Canada, and indigenous perspectives and voices to paint Canada’s history.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A32EB9" w:rsidRDefault="00A32EB9"/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</w:tcPr>
          <w:p w:rsidR="00A32EB9" w:rsidRDefault="00A32EB9"/>
        </w:tc>
        <w:tc>
          <w:tcPr>
            <w:tcW w:w="3918" w:type="dxa"/>
            <w:tcBorders>
              <w:top w:val="nil"/>
              <w:left w:val="nil"/>
              <w:bottom w:val="nil"/>
              <w:right w:val="nil"/>
            </w:tcBorders>
          </w:tcPr>
          <w:p w:rsidR="00A32EB9" w:rsidRDefault="00BD0ED4">
            <w:r>
              <w:rPr>
                <w:noProof/>
              </w:rPr>
              <w:drawing>
                <wp:anchor distT="0" distB="0" distL="0" distR="0" simplePos="0" relativeHeight="251660288" behindDoc="0" locked="0" layoutInCell="1" hidden="0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0</wp:posOffset>
                  </wp:positionV>
                  <wp:extent cx="1747838" cy="1407718"/>
                  <wp:effectExtent l="0" t="0" r="0" b="0"/>
                  <wp:wrapTopAndBottom distT="0" distB="0"/>
                  <wp:docPr id="5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 t="124" b="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838" cy="14077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A32EB9" w:rsidRDefault="00BD0E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340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[Students learn science outcomes through experimentation]</w:t>
            </w:r>
          </w:p>
          <w:p w:rsidR="00A32EB9" w:rsidRDefault="00BD0ED4">
            <w:pPr>
              <w:pStyle w:val="Heading2"/>
              <w:outlineLvl w:val="1"/>
              <w:rPr>
                <w:b w:val="0"/>
              </w:rPr>
            </w:pPr>
            <w:r>
              <w:rPr>
                <w:b w:val="0"/>
                <w:color w:val="C45238"/>
                <w:sz w:val="32"/>
                <w:szCs w:val="32"/>
              </w:rPr>
              <w:t>Science</w:t>
            </w:r>
          </w:p>
          <w:p w:rsidR="00A32EB9" w:rsidRDefault="00BD0ED4">
            <w:pPr>
              <w:spacing w:before="200"/>
              <w:rPr>
                <w:rFonts w:ascii="Proxima Nova" w:eastAsia="Proxima Nova" w:hAnsi="Proxima Nova" w:cs="Proxima Nova"/>
                <w:i/>
                <w:color w:val="353744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353744"/>
                <w:sz w:val="22"/>
                <w:szCs w:val="22"/>
              </w:rPr>
              <w:t xml:space="preserve">This year, the Science program focuses on four clusters which are: </w:t>
            </w:r>
            <w:r>
              <w:rPr>
                <w:rFonts w:ascii="Proxima Nova" w:eastAsia="Proxima Nova" w:hAnsi="Proxima Nova" w:cs="Proxima Nova"/>
                <w:i/>
                <w:color w:val="353744"/>
                <w:sz w:val="22"/>
                <w:szCs w:val="22"/>
              </w:rPr>
              <w:t>Diversity of Living Things, Flight, Electricity, The Solar System.</w:t>
            </w:r>
          </w:p>
          <w:p w:rsidR="00A32EB9" w:rsidRDefault="00BD0ED4">
            <w:pPr>
              <w:spacing w:before="200"/>
              <w:rPr>
                <w:rFonts w:ascii="Proxima Nova" w:eastAsia="Proxima Nova" w:hAnsi="Proxima Nova" w:cs="Proxima Nova"/>
                <w:color w:val="353744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353744"/>
                <w:sz w:val="22"/>
                <w:szCs w:val="22"/>
              </w:rPr>
              <w:t>Our school has Science Fair and Knowledge Fair where students do research and experimentation to pursue an area of study that interests them.</w:t>
            </w:r>
          </w:p>
          <w:p w:rsidR="00A32EB9" w:rsidRDefault="00BD0ED4">
            <w:pPr>
              <w:spacing w:before="200"/>
              <w:rPr>
                <w:rFonts w:ascii="Proxima Nova" w:eastAsia="Proxima Nova" w:hAnsi="Proxima Nova" w:cs="Proxima Nova"/>
                <w:color w:val="353744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353744"/>
                <w:sz w:val="22"/>
                <w:szCs w:val="22"/>
              </w:rPr>
              <w:t xml:space="preserve">Additionally, </w:t>
            </w:r>
            <w:proofErr w:type="gramStart"/>
            <w:r>
              <w:rPr>
                <w:rFonts w:ascii="Proxima Nova" w:eastAsia="Proxima Nova" w:hAnsi="Proxima Nova" w:cs="Proxima Nova"/>
                <w:color w:val="353744"/>
                <w:sz w:val="22"/>
                <w:szCs w:val="22"/>
              </w:rPr>
              <w:t>we  integrate</w:t>
            </w:r>
            <w:proofErr w:type="gramEnd"/>
            <w:r>
              <w:rPr>
                <w:rFonts w:ascii="Proxima Nova" w:eastAsia="Proxima Nova" w:hAnsi="Proxima Nova" w:cs="Proxima Nova"/>
                <w:color w:val="353744"/>
                <w:sz w:val="22"/>
                <w:szCs w:val="22"/>
              </w:rPr>
              <w:t xml:space="preserve"> learning about the </w:t>
            </w:r>
            <w:proofErr w:type="spellStart"/>
            <w:r>
              <w:rPr>
                <w:rFonts w:ascii="Proxima Nova" w:eastAsia="Proxima Nova" w:hAnsi="Proxima Nova" w:cs="Proxima Nova"/>
                <w:color w:val="353744"/>
                <w:sz w:val="22"/>
                <w:szCs w:val="22"/>
              </w:rPr>
              <w:t>affects</w:t>
            </w:r>
            <w:proofErr w:type="spellEnd"/>
            <w:r>
              <w:rPr>
                <w:rFonts w:ascii="Proxima Nova" w:eastAsia="Proxima Nova" w:hAnsi="Proxima Nova" w:cs="Proxima Nova"/>
                <w:color w:val="353744"/>
                <w:sz w:val="22"/>
                <w:szCs w:val="22"/>
              </w:rPr>
              <w:t xml:space="preserve"> of Climate Change throughout the school year. </w:t>
            </w:r>
          </w:p>
          <w:p w:rsidR="00A32EB9" w:rsidRDefault="00BD0ED4">
            <w:pPr>
              <w:spacing w:before="200"/>
              <w:rPr>
                <w:rFonts w:ascii="Proxima Nova" w:eastAsia="Proxima Nova" w:hAnsi="Proxima Nova" w:cs="Proxima Nova"/>
                <w:color w:val="353744"/>
                <w:sz w:val="22"/>
                <w:szCs w:val="22"/>
              </w:rPr>
            </w:pPr>
            <w:r>
              <w:rPr>
                <w:color w:val="C45238"/>
                <w:sz w:val="32"/>
                <w:szCs w:val="32"/>
              </w:rPr>
              <w:t>Health</w:t>
            </w:r>
          </w:p>
          <w:p w:rsidR="00A32EB9" w:rsidRDefault="00BD0ED4">
            <w:pPr>
              <w:spacing w:before="200"/>
              <w:rPr>
                <w:rFonts w:ascii="Proxima Nova" w:eastAsia="Proxima Nova" w:hAnsi="Proxima Nova" w:cs="Proxima Nova"/>
                <w:color w:val="353744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353744"/>
                <w:sz w:val="22"/>
                <w:szCs w:val="22"/>
              </w:rPr>
              <w:t>The units covered in Health are: healthy lifestyles, personal safety and decision making, drug education, the family, and puberty and human reproduction.</w:t>
            </w:r>
          </w:p>
          <w:p w:rsidR="00A32EB9" w:rsidRDefault="00BD0ED4" w:rsidP="00F70F80">
            <w:pPr>
              <w:spacing w:before="200"/>
              <w:rPr>
                <w:rFonts w:ascii="Proxima Nova" w:eastAsia="Proxima Nova" w:hAnsi="Proxima Nova" w:cs="Proxima Nova"/>
                <w:color w:val="353744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353744"/>
                <w:sz w:val="22"/>
                <w:szCs w:val="22"/>
              </w:rPr>
              <w:t>Health objectives are taught throughout the school year including family life curriculum.</w:t>
            </w:r>
            <w:r w:rsidR="00F70F80">
              <w:rPr>
                <w:rFonts w:ascii="Proxima Nova" w:eastAsia="Proxima Nova" w:hAnsi="Proxima Nova" w:cs="Proxima Nova"/>
                <w:color w:val="353744"/>
                <w:sz w:val="22"/>
                <w:szCs w:val="22"/>
              </w:rPr>
              <w:t xml:space="preserve"> </w:t>
            </w:r>
            <w:r>
              <w:rPr>
                <w:rFonts w:ascii="Proxima Nova" w:eastAsia="Proxima Nova" w:hAnsi="Proxima Nova" w:cs="Proxima Nova"/>
                <w:color w:val="353744"/>
                <w:sz w:val="22"/>
                <w:szCs w:val="22"/>
              </w:rPr>
              <w:t>We utilize mindfulness activities to help our students regulate their emotions and support their mental health</w:t>
            </w:r>
            <w:r w:rsidR="00F70F80">
              <w:rPr>
                <w:rFonts w:ascii="Proxima Nova" w:eastAsia="Proxima Nova" w:hAnsi="Proxima Nova" w:cs="Proxima Nova"/>
                <w:color w:val="353744"/>
                <w:sz w:val="22"/>
                <w:szCs w:val="22"/>
              </w:rPr>
              <w:t>.</w:t>
            </w:r>
          </w:p>
        </w:tc>
      </w:tr>
    </w:tbl>
    <w:p w:rsidR="00A32EB9" w:rsidRDefault="00A32EB9" w:rsidP="00F70F80">
      <w:pPr>
        <w:spacing w:after="0" w:line="240" w:lineRule="auto"/>
      </w:pPr>
      <w:bookmarkStart w:id="2" w:name="_gjdgxs" w:colFirst="0" w:colLast="0"/>
      <w:bookmarkEnd w:id="2"/>
    </w:p>
    <w:sectPr w:rsidR="00A32EB9">
      <w:pgSz w:w="15840" w:h="12240" w:orient="landscape"/>
      <w:pgMar w:top="720" w:right="720" w:bottom="432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altName w:val="Tahoma"/>
    <w:charset w:val="00"/>
    <w:family w:val="auto"/>
    <w:pitch w:val="default"/>
  </w:font>
  <w:font w:name="Amatic SC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EB9"/>
    <w:rsid w:val="00234B36"/>
    <w:rsid w:val="00A32EB9"/>
    <w:rsid w:val="00BD0ED4"/>
    <w:rsid w:val="00F70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669B59-6BBD-4401-B66A-521084C7F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ok Antiqua" w:eastAsia="Book Antiqua" w:hAnsi="Book Antiqua" w:cs="Book Antiqua"/>
        <w:color w:val="4D4436"/>
        <w:sz w:val="18"/>
        <w:szCs w:val="18"/>
        <w:lang w:val="en-US" w:eastAsia="en-CA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 w:after="0" w:line="240" w:lineRule="auto"/>
      <w:outlineLvl w:val="0"/>
    </w:pPr>
    <w:rPr>
      <w:b/>
      <w:color w:val="C45238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 w:line="240" w:lineRule="auto"/>
      <w:outlineLvl w:val="1"/>
    </w:pPr>
    <w:rPr>
      <w:b/>
      <w:color w:val="352F25"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320" w:after="0" w:line="240" w:lineRule="auto"/>
      <w:ind w:left="288" w:right="288"/>
    </w:pPr>
    <w:rPr>
      <w:color w:val="FFFFFF"/>
      <w:sz w:val="60"/>
      <w:szCs w:val="60"/>
    </w:rPr>
  </w:style>
  <w:style w:type="paragraph" w:styleId="Subtitle">
    <w:name w:val="Subtitle"/>
    <w:basedOn w:val="Normal"/>
    <w:next w:val="Normal"/>
    <w:uiPriority w:val="11"/>
    <w:qFormat/>
    <w:pPr>
      <w:spacing w:after="360" w:line="264" w:lineRule="auto"/>
      <w:ind w:left="288" w:right="288"/>
    </w:pPr>
    <w:rPr>
      <w:i/>
      <w:color w:val="FFFFFF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hyperlink" Target="http://www.winnipegsd.ca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611</Words>
  <Characters>3483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Winnipeg School Division</Company>
  <LinksUpToDate>false</LinksUpToDate>
  <CharactersWithSpaces>4086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Ferguson</dc:creator>
  <cp:lastModifiedBy>esookram</cp:lastModifiedBy>
  <cp:revision>2</cp:revision>
  <dcterms:created xsi:type="dcterms:W3CDTF">2021-09-15T15:24:00Z</dcterms:created>
  <dcterms:modified xsi:type="dcterms:W3CDTF">2021-09-15T15:24:00Z</dcterms:modified>
</cp:coreProperties>
</file>